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9C3E" w14:textId="77777777" w:rsidR="00DB7404" w:rsidRDefault="00DB7404" w:rsidP="00DB7404">
      <w:pPr>
        <w:jc w:val="center"/>
        <w:rPr>
          <w:b/>
          <w:bCs/>
        </w:rPr>
      </w:pPr>
    </w:p>
    <w:p w14:paraId="128FF0E7" w14:textId="55344BD3" w:rsidR="00DB7404" w:rsidRDefault="00DB7404" w:rsidP="00DB740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4DD3E3" wp14:editId="2FE0FDE9">
            <wp:extent cx="3098800" cy="1270000"/>
            <wp:effectExtent l="0" t="0" r="0" b="0"/>
            <wp:docPr id="1865490403" name="Image 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90403" name="Image 1" descr="Une image contenant texte, Police, conceptio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48BFC" w14:textId="77777777" w:rsidR="00DB7404" w:rsidRDefault="00DB7404" w:rsidP="00DB7404">
      <w:pPr>
        <w:jc w:val="center"/>
        <w:rPr>
          <w:b/>
          <w:bCs/>
        </w:rPr>
      </w:pPr>
    </w:p>
    <w:p w14:paraId="66B50600" w14:textId="09EAE588" w:rsidR="004B2478" w:rsidRDefault="004B2478" w:rsidP="00DB7404">
      <w:pPr>
        <w:jc w:val="center"/>
        <w:rPr>
          <w:b/>
          <w:bCs/>
        </w:rPr>
      </w:pPr>
      <w:r>
        <w:rPr>
          <w:b/>
          <w:bCs/>
        </w:rPr>
        <w:t>CONSEIL DES DROITS DE L’HOMME – 59</w:t>
      </w:r>
      <w:r w:rsidRPr="004B2478">
        <w:rPr>
          <w:b/>
          <w:bCs/>
          <w:vertAlign w:val="superscript"/>
        </w:rPr>
        <w:t>ÈME</w:t>
      </w:r>
      <w:r>
        <w:rPr>
          <w:b/>
          <w:bCs/>
        </w:rPr>
        <w:t xml:space="preserve"> SESSION</w:t>
      </w:r>
    </w:p>
    <w:p w14:paraId="11AED8DB" w14:textId="00EB875F" w:rsidR="00DB7404" w:rsidRDefault="00DB7404" w:rsidP="00DB7404">
      <w:pPr>
        <w:jc w:val="center"/>
        <w:rPr>
          <w:b/>
          <w:bCs/>
        </w:rPr>
      </w:pPr>
      <w:r w:rsidRPr="00DB7404">
        <w:rPr>
          <w:b/>
          <w:bCs/>
        </w:rPr>
        <w:t xml:space="preserve">POINT 10 – DI SUR LA </w:t>
      </w:r>
      <w:r w:rsidR="00BC451D">
        <w:rPr>
          <w:b/>
          <w:bCs/>
        </w:rPr>
        <w:t>MISE À JOUR</w:t>
      </w:r>
      <w:r w:rsidRPr="00DB7404">
        <w:rPr>
          <w:b/>
          <w:bCs/>
        </w:rPr>
        <w:t xml:space="preserve"> ORALE D</w:t>
      </w:r>
      <w:r w:rsidR="00BC451D">
        <w:rPr>
          <w:b/>
          <w:bCs/>
        </w:rPr>
        <w:t xml:space="preserve">E L’EXPERT INDÉPENDANT </w:t>
      </w:r>
      <w:r w:rsidRPr="00DB7404">
        <w:rPr>
          <w:b/>
          <w:bCs/>
        </w:rPr>
        <w:t>SUR</w:t>
      </w:r>
      <w:r>
        <w:rPr>
          <w:b/>
          <w:bCs/>
        </w:rPr>
        <w:t xml:space="preserve"> LA</w:t>
      </w:r>
      <w:r w:rsidRPr="00DB7404">
        <w:rPr>
          <w:b/>
          <w:bCs/>
        </w:rPr>
        <w:t xml:space="preserve"> </w:t>
      </w:r>
      <w:r>
        <w:rPr>
          <w:b/>
          <w:bCs/>
        </w:rPr>
        <w:t>RCA</w:t>
      </w:r>
    </w:p>
    <w:p w14:paraId="5CF4CF0C" w14:textId="671BA10D" w:rsidR="00DB7404" w:rsidRDefault="00DB7404" w:rsidP="00FB1EB5">
      <w:pPr>
        <w:jc w:val="center"/>
        <w:rPr>
          <w:b/>
          <w:bCs/>
        </w:rPr>
      </w:pPr>
      <w:r w:rsidRPr="00DB7404">
        <w:rPr>
          <w:b/>
          <w:bCs/>
        </w:rPr>
        <w:t>Date : 4 juillet 2025</w:t>
      </w:r>
    </w:p>
    <w:p w14:paraId="2C818C2E" w14:textId="77777777" w:rsidR="004B2478" w:rsidRDefault="004B2478" w:rsidP="00FB1EB5">
      <w:pPr>
        <w:jc w:val="center"/>
        <w:rPr>
          <w:b/>
          <w:bCs/>
        </w:rPr>
      </w:pPr>
    </w:p>
    <w:p w14:paraId="3D6A448B" w14:textId="7E0A1B8A" w:rsidR="00DB7404" w:rsidRDefault="00DB7404" w:rsidP="00FB1EB5">
      <w:pPr>
        <w:jc w:val="center"/>
        <w:rPr>
          <w:b/>
          <w:bCs/>
        </w:rPr>
      </w:pPr>
      <w:r w:rsidRPr="00DB7404">
        <w:rPr>
          <w:b/>
          <w:bCs/>
        </w:rPr>
        <w:t>Intervenant</w:t>
      </w:r>
      <w:r>
        <w:rPr>
          <w:b/>
          <w:bCs/>
        </w:rPr>
        <w:t>e</w:t>
      </w:r>
      <w:r w:rsidRPr="00DB7404">
        <w:rPr>
          <w:b/>
          <w:bCs/>
        </w:rPr>
        <w:t> : Agathe HOOGTERP</w:t>
      </w:r>
    </w:p>
    <w:p w14:paraId="3385986C" w14:textId="77777777" w:rsidR="00DF50D2" w:rsidRDefault="00DF50D2" w:rsidP="00DB7404">
      <w:pPr>
        <w:jc w:val="center"/>
        <w:rPr>
          <w:b/>
          <w:bCs/>
        </w:rPr>
      </w:pPr>
    </w:p>
    <w:p w14:paraId="0DC682AF" w14:textId="77777777" w:rsidR="00FB1EB5" w:rsidRDefault="00FB1EB5" w:rsidP="00DF50D2">
      <w:pPr>
        <w:jc w:val="both"/>
      </w:pPr>
    </w:p>
    <w:p w14:paraId="39AB7896" w14:textId="44F1DD60" w:rsidR="00DF50D2" w:rsidRDefault="00DF50D2" w:rsidP="0039135F">
      <w:pPr>
        <w:spacing w:line="360" w:lineRule="auto"/>
        <w:jc w:val="both"/>
      </w:pPr>
      <w:r w:rsidRPr="00DF50D2">
        <w:t>Monsieur le Présiden</w:t>
      </w:r>
      <w:r>
        <w:t xml:space="preserve">t, </w:t>
      </w:r>
    </w:p>
    <w:p w14:paraId="1E79C35F" w14:textId="77777777" w:rsidR="00ED1367" w:rsidRDefault="00ED1367" w:rsidP="0039135F">
      <w:pPr>
        <w:spacing w:line="360" w:lineRule="auto"/>
        <w:jc w:val="both"/>
      </w:pPr>
    </w:p>
    <w:p w14:paraId="79662CEE" w14:textId="1377F852" w:rsidR="00062559" w:rsidRDefault="00D15208" w:rsidP="0039135F">
      <w:pPr>
        <w:spacing w:line="360" w:lineRule="auto"/>
        <w:ind w:firstLine="708"/>
        <w:jc w:val="both"/>
      </w:pPr>
      <w:r>
        <w:t>L</w:t>
      </w:r>
      <w:r w:rsidR="00760D97">
        <w:t>e</w:t>
      </w:r>
      <w:r w:rsidR="00ED1367">
        <w:t xml:space="preserve"> Centre d’Études Juridiques Africaines (CEJA)</w:t>
      </w:r>
      <w:r w:rsidR="00062559">
        <w:t xml:space="preserve"> voudrait tout d’abord adresser ses condoléances les plus attristées au peuple centrafricain pour le drame survenu le 25 juin 2025 au lycée Barthélémy Boganda. Nous exprimons aux familles éprouvées toute </w:t>
      </w:r>
      <w:r w:rsidR="0005790E">
        <w:t>notre</w:t>
      </w:r>
      <w:r w:rsidR="00062559">
        <w:t xml:space="preserve"> sympathie. </w:t>
      </w:r>
    </w:p>
    <w:p w14:paraId="2C3BACA3" w14:textId="77777777" w:rsidR="00062559" w:rsidRDefault="00062559" w:rsidP="00062559">
      <w:pPr>
        <w:spacing w:line="360" w:lineRule="auto"/>
        <w:jc w:val="both"/>
      </w:pPr>
    </w:p>
    <w:p w14:paraId="22B4A9D0" w14:textId="49D5224E" w:rsidR="00D121D6" w:rsidRDefault="00062559" w:rsidP="00062559">
      <w:pPr>
        <w:spacing w:line="360" w:lineRule="auto"/>
        <w:ind w:firstLine="708"/>
        <w:jc w:val="both"/>
      </w:pPr>
      <w:r>
        <w:t>Le CEJA</w:t>
      </w:r>
      <w:r w:rsidR="00ED1367">
        <w:t xml:space="preserve"> </w:t>
      </w:r>
      <w:r w:rsidR="00DD688E">
        <w:t xml:space="preserve">salue les efforts déployés par la </w:t>
      </w:r>
      <w:r w:rsidR="00D121D6">
        <w:t>Centrafrique</w:t>
      </w:r>
      <w:r w:rsidR="00DD688E">
        <w:t xml:space="preserve"> dans la lutte contre le </w:t>
      </w:r>
      <w:r w:rsidR="00DD688E" w:rsidRPr="00DD688E">
        <w:t xml:space="preserve">recrutement et </w:t>
      </w:r>
      <w:r w:rsidR="001F225B">
        <w:t>l</w:t>
      </w:r>
      <w:r w:rsidR="00DD688E" w:rsidRPr="00DD688E">
        <w:t xml:space="preserve">'utilisation des enfants par </w:t>
      </w:r>
      <w:r w:rsidR="00853E15">
        <w:t>les</w:t>
      </w:r>
      <w:r w:rsidR="00DD688E" w:rsidRPr="00DD688E">
        <w:t xml:space="preserve"> groupes armé</w:t>
      </w:r>
      <w:r w:rsidR="00DD688E">
        <w:t>s</w:t>
      </w:r>
      <w:r w:rsidR="00BB61F6">
        <w:t xml:space="preserve">. </w:t>
      </w:r>
    </w:p>
    <w:p w14:paraId="394510CD" w14:textId="77777777" w:rsidR="00D121D6" w:rsidRDefault="00D121D6" w:rsidP="0039135F">
      <w:pPr>
        <w:spacing w:line="360" w:lineRule="auto"/>
        <w:ind w:firstLine="708"/>
        <w:jc w:val="both"/>
      </w:pPr>
    </w:p>
    <w:p w14:paraId="4D19D124" w14:textId="3ADE4D09" w:rsidR="002A7C74" w:rsidRDefault="00760D97" w:rsidP="0039135F">
      <w:pPr>
        <w:spacing w:line="360" w:lineRule="auto"/>
        <w:ind w:firstLine="708"/>
        <w:jc w:val="both"/>
      </w:pPr>
      <w:r>
        <w:t>Nous la</w:t>
      </w:r>
      <w:r w:rsidR="00BB61F6">
        <w:t xml:space="preserve"> félici</w:t>
      </w:r>
      <w:r>
        <w:t xml:space="preserve">tons </w:t>
      </w:r>
      <w:r w:rsidR="00BB61F6">
        <w:t>pour la mise en place</w:t>
      </w:r>
      <w:r w:rsidR="00F67E61">
        <w:t xml:space="preserve"> </w:t>
      </w:r>
      <w:r w:rsidR="00BB61F6">
        <w:t xml:space="preserve">du </w:t>
      </w:r>
      <w:r w:rsidR="00BB61F6" w:rsidRPr="00ED1367">
        <w:t xml:space="preserve">plan national d’action pour lutter contre la traite des enfants </w:t>
      </w:r>
      <w:r w:rsidR="00BB61F6">
        <w:t>dans les conflits</w:t>
      </w:r>
      <w:r w:rsidR="00BB61F6">
        <w:rPr>
          <w:rStyle w:val="Appelnotedebasdep"/>
        </w:rPr>
        <w:t xml:space="preserve"> </w:t>
      </w:r>
      <w:r w:rsidR="00BB61F6">
        <w:rPr>
          <w:rStyle w:val="Appelnotedebasdep"/>
        </w:rPr>
        <w:footnoteReference w:id="1"/>
      </w:r>
      <w:r w:rsidR="00DD688E">
        <w:t xml:space="preserve">. </w:t>
      </w:r>
      <w:r w:rsidR="002F6A19">
        <w:t>Également, le</w:t>
      </w:r>
      <w:r w:rsidR="002A7C74">
        <w:t xml:space="preserve"> CEJA </w:t>
      </w:r>
      <w:r w:rsidR="000F542D">
        <w:t>se réjouit de</w:t>
      </w:r>
      <w:r w:rsidR="002A7C74">
        <w:t xml:space="preserve"> la collaboration</w:t>
      </w:r>
      <w:r w:rsidR="00BB61F6">
        <w:t xml:space="preserve"> de l’État</w:t>
      </w:r>
      <w:r w:rsidR="002A7C74">
        <w:t xml:space="preserve"> </w:t>
      </w:r>
      <w:r w:rsidR="00BB61F6">
        <w:t xml:space="preserve">avec </w:t>
      </w:r>
      <w:r w:rsidR="002A7C74">
        <w:t>la Rapporteur</w:t>
      </w:r>
      <w:r w:rsidR="008C0170">
        <w:t>e</w:t>
      </w:r>
      <w:r w:rsidR="002A7C74">
        <w:t xml:space="preserve"> spécial</w:t>
      </w:r>
      <w:r w:rsidR="008C0170">
        <w:t xml:space="preserve">e </w:t>
      </w:r>
      <w:r w:rsidR="002A7C74">
        <w:t>sur la traite des êtres humains</w:t>
      </w:r>
      <w:r w:rsidR="00BB61F6">
        <w:t>, plus spécifiquement des femmes et enfants</w:t>
      </w:r>
      <w:r w:rsidR="005F28E1">
        <w:rPr>
          <w:rStyle w:val="Appelnotedebasdep"/>
        </w:rPr>
        <w:footnoteReference w:id="2"/>
      </w:r>
      <w:r w:rsidR="00F50F20">
        <w:t xml:space="preserve"> et pour la signature</w:t>
      </w:r>
      <w:r w:rsidR="00D6067E">
        <w:t xml:space="preserve"> avec l’ONU</w:t>
      </w:r>
      <w:r w:rsidR="00F50F20">
        <w:t xml:space="preserve"> d’un protocole de transfert pour la protection des enfants associés à des forces armées ou à des groupes armés et leur remise aux autorités civiles</w:t>
      </w:r>
      <w:r w:rsidR="00D6067E">
        <w:rPr>
          <w:rStyle w:val="Appelnotedebasdep"/>
        </w:rPr>
        <w:footnoteReference w:id="3"/>
      </w:r>
      <w:r w:rsidR="00F50F20">
        <w:t>.</w:t>
      </w:r>
    </w:p>
    <w:p w14:paraId="1718D05D" w14:textId="77777777" w:rsidR="00853E15" w:rsidRDefault="00853E15" w:rsidP="0039135F">
      <w:pPr>
        <w:spacing w:line="360" w:lineRule="auto"/>
        <w:jc w:val="both"/>
      </w:pPr>
    </w:p>
    <w:p w14:paraId="0F5A229A" w14:textId="389DFC43" w:rsidR="00DD5947" w:rsidRDefault="00853E15" w:rsidP="0039135F">
      <w:pPr>
        <w:spacing w:line="360" w:lineRule="auto"/>
        <w:ind w:firstLine="708"/>
        <w:jc w:val="both"/>
      </w:pPr>
      <w:r>
        <w:t xml:space="preserve">Toutefois, le pays </w:t>
      </w:r>
      <w:r w:rsidR="002A7C74">
        <w:t>fait</w:t>
      </w:r>
      <w:r>
        <w:t xml:space="preserve"> toujours </w:t>
      </w:r>
      <w:r w:rsidR="002A7C74">
        <w:t>face à la présence de groupes armés et</w:t>
      </w:r>
      <w:r w:rsidR="00DD5947">
        <w:t xml:space="preserve"> au</w:t>
      </w:r>
      <w:r w:rsidR="00AA1A86">
        <w:t>x</w:t>
      </w:r>
      <w:r w:rsidR="00DD5947">
        <w:t xml:space="preserve"> recrutement</w:t>
      </w:r>
      <w:r w:rsidR="00AA1A86">
        <w:t>s</w:t>
      </w:r>
      <w:r w:rsidR="00DD5947">
        <w:t xml:space="preserve"> </w:t>
      </w:r>
      <w:r w:rsidR="00AA1A86">
        <w:t xml:space="preserve">massifs </w:t>
      </w:r>
      <w:r w:rsidR="00DD5947">
        <w:t>de leur part d’enfants soldats</w:t>
      </w:r>
      <w:r w:rsidR="00E71B8C">
        <w:rPr>
          <w:rStyle w:val="Appelnotedebasdep"/>
        </w:rPr>
        <w:footnoteReference w:id="4"/>
      </w:r>
      <w:r w:rsidR="00DD5947">
        <w:t>.</w:t>
      </w:r>
      <w:r w:rsidR="008D341F">
        <w:t xml:space="preserve"> </w:t>
      </w:r>
      <w:r w:rsidR="008C0170">
        <w:t>Aussi</w:t>
      </w:r>
      <w:r w:rsidR="008D341F">
        <w:t>,</w:t>
      </w:r>
      <w:r w:rsidR="00DD5947">
        <w:t xml:space="preserve"> </w:t>
      </w:r>
      <w:r w:rsidR="00F67E61">
        <w:t xml:space="preserve">nous </w:t>
      </w:r>
      <w:r w:rsidR="008D341F">
        <w:t>exhort</w:t>
      </w:r>
      <w:r w:rsidR="00F67E61">
        <w:t>ons</w:t>
      </w:r>
      <w:r w:rsidR="008D341F">
        <w:t xml:space="preserve"> lesdits groupes de respecter le droit international humanitaire</w:t>
      </w:r>
      <w:r w:rsidR="00EB34AA">
        <w:rPr>
          <w:rStyle w:val="Appelnotedebasdep"/>
        </w:rPr>
        <w:footnoteReference w:id="5"/>
      </w:r>
      <w:r w:rsidR="008D341F">
        <w:t xml:space="preserve"> en </w:t>
      </w:r>
      <w:r w:rsidR="00760D97">
        <w:t xml:space="preserve">mettant fin à </w:t>
      </w:r>
      <w:r w:rsidR="008D341F">
        <w:t xml:space="preserve">cette pratique. </w:t>
      </w:r>
    </w:p>
    <w:p w14:paraId="3F792767" w14:textId="77777777" w:rsidR="00DD5947" w:rsidRDefault="00DD5947" w:rsidP="0039135F">
      <w:pPr>
        <w:spacing w:line="360" w:lineRule="auto"/>
        <w:ind w:firstLine="708"/>
        <w:jc w:val="both"/>
      </w:pPr>
    </w:p>
    <w:p w14:paraId="0357E931" w14:textId="7C7E1CC1" w:rsidR="008D5653" w:rsidRDefault="008D341F" w:rsidP="0039135F">
      <w:pPr>
        <w:spacing w:line="360" w:lineRule="auto"/>
        <w:ind w:firstLine="708"/>
        <w:jc w:val="both"/>
      </w:pPr>
      <w:r>
        <w:t>Au nom de l’Intérêt supérieur de l’enfant, le</w:t>
      </w:r>
      <w:r w:rsidR="00DD5947">
        <w:t xml:space="preserve"> CEJA </w:t>
      </w:r>
      <w:r>
        <w:t xml:space="preserve">demande à </w:t>
      </w:r>
      <w:r w:rsidR="00E71B8C">
        <w:t xml:space="preserve">la </w:t>
      </w:r>
      <w:r w:rsidR="0004141F">
        <w:t>Centrafrique</w:t>
      </w:r>
      <w:r>
        <w:t xml:space="preserve"> </w:t>
      </w:r>
      <w:r w:rsidR="001E4390">
        <w:t xml:space="preserve">de </w:t>
      </w:r>
      <w:r w:rsidR="008C0170">
        <w:t>renforcer</w:t>
      </w:r>
      <w:r w:rsidR="001E4390">
        <w:t xml:space="preserve"> ses efforts et de se conformer</w:t>
      </w:r>
      <w:r w:rsidR="00DD5947">
        <w:t xml:space="preserve"> </w:t>
      </w:r>
      <w:r w:rsidR="008D5653">
        <w:t xml:space="preserve">aux droits de l’Homme notamment </w:t>
      </w:r>
      <w:r w:rsidR="008C0170">
        <w:t>à la Charte africaine des droits et du bien-être de l’enfant</w:t>
      </w:r>
      <w:r w:rsidR="008C0170">
        <w:rPr>
          <w:rStyle w:val="Appelnotedebasdep"/>
        </w:rPr>
        <w:footnoteReference w:id="6"/>
      </w:r>
      <w:r w:rsidR="00AA1A86">
        <w:t>, à la Convention sur les pires formes de travail des enfants</w:t>
      </w:r>
      <w:r w:rsidR="00AA1A86">
        <w:rPr>
          <w:rStyle w:val="Appelnotedebasdep"/>
        </w:rPr>
        <w:footnoteReference w:id="7"/>
      </w:r>
      <w:r w:rsidR="00AA1A86">
        <w:t xml:space="preserve"> et au protocole à la </w:t>
      </w:r>
      <w:r w:rsidR="00D15208">
        <w:t>C</w:t>
      </w:r>
      <w:r w:rsidR="00AA1A86">
        <w:t>onvention relative aux droits de l’enfant concernant l’implication dans les conflits armés</w:t>
      </w:r>
      <w:r w:rsidR="00AA1A86">
        <w:rPr>
          <w:rStyle w:val="Appelnotedebasdep"/>
        </w:rPr>
        <w:footnoteReference w:id="8"/>
      </w:r>
      <w:r w:rsidR="00AA1A86">
        <w:t xml:space="preserve">. </w:t>
      </w:r>
    </w:p>
    <w:p w14:paraId="75CE6763" w14:textId="77777777" w:rsidR="00E71B8C" w:rsidRDefault="00E71B8C" w:rsidP="0039135F">
      <w:pPr>
        <w:spacing w:line="360" w:lineRule="auto"/>
        <w:jc w:val="both"/>
      </w:pPr>
    </w:p>
    <w:p w14:paraId="01F3125F" w14:textId="1281F603" w:rsidR="008D5653" w:rsidRDefault="00BC451D" w:rsidP="0039135F">
      <w:pPr>
        <w:spacing w:line="360" w:lineRule="auto"/>
        <w:ind w:firstLine="708"/>
        <w:jc w:val="both"/>
      </w:pPr>
      <w:r>
        <w:t>Nous</w:t>
      </w:r>
      <w:r w:rsidR="008D5653">
        <w:t xml:space="preserve"> encourage</w:t>
      </w:r>
      <w:r>
        <w:t>ons</w:t>
      </w:r>
      <w:r w:rsidR="008D5653">
        <w:t xml:space="preserve"> l’État à développer l’éducation et à accorder une </w:t>
      </w:r>
      <w:r w:rsidR="008C0170">
        <w:t>meilleure répartition des richesses nationales</w:t>
      </w:r>
      <w:r w:rsidR="008D5653">
        <w:t xml:space="preserve"> </w:t>
      </w:r>
      <w:r w:rsidR="002978FF">
        <w:t>puisque</w:t>
      </w:r>
      <w:r w:rsidR="008D5653">
        <w:t xml:space="preserve"> les enfants soldats proviennent majoritairement de milieux défavorisés</w:t>
      </w:r>
      <w:r w:rsidR="008D5653">
        <w:rPr>
          <w:rStyle w:val="Appelnotedebasdep"/>
        </w:rPr>
        <w:footnoteReference w:id="9"/>
      </w:r>
      <w:r w:rsidR="008D5653">
        <w:t xml:space="preserve">. </w:t>
      </w:r>
    </w:p>
    <w:p w14:paraId="46CC7B6B" w14:textId="77777777" w:rsidR="00DD5947" w:rsidRDefault="00DD5947" w:rsidP="0039135F">
      <w:pPr>
        <w:spacing w:line="360" w:lineRule="auto"/>
        <w:jc w:val="both"/>
      </w:pPr>
    </w:p>
    <w:p w14:paraId="144DBA85" w14:textId="551EB32E" w:rsidR="008D5653" w:rsidRDefault="00BC451D" w:rsidP="0039135F">
      <w:pPr>
        <w:spacing w:line="360" w:lineRule="auto"/>
        <w:ind w:firstLine="708"/>
        <w:jc w:val="both"/>
      </w:pPr>
      <w:r>
        <w:t>Le</w:t>
      </w:r>
      <w:r w:rsidR="008D5653">
        <w:t xml:space="preserve"> CEJA </w:t>
      </w:r>
      <w:r w:rsidR="008C0170">
        <w:t xml:space="preserve">réaffirme sa disposition à aider </w:t>
      </w:r>
      <w:r w:rsidR="008D5653">
        <w:t>la République centrafricaine</w:t>
      </w:r>
      <w:r w:rsidR="008C0170">
        <w:t xml:space="preserve"> pour le plein respect des droits de l’Homme. </w:t>
      </w:r>
    </w:p>
    <w:p w14:paraId="124B50BF" w14:textId="77777777" w:rsidR="00DD5947" w:rsidRDefault="00DD5947" w:rsidP="0039135F">
      <w:pPr>
        <w:spacing w:line="360" w:lineRule="auto"/>
        <w:jc w:val="both"/>
      </w:pPr>
    </w:p>
    <w:p w14:paraId="04380F8A" w14:textId="4FB00BCE" w:rsidR="00ED1367" w:rsidRPr="00DF50D2" w:rsidRDefault="002978FF" w:rsidP="0039135F">
      <w:pPr>
        <w:spacing w:line="360" w:lineRule="auto"/>
        <w:jc w:val="both"/>
      </w:pPr>
      <w:r>
        <w:t xml:space="preserve">Je vous remercie. </w:t>
      </w:r>
    </w:p>
    <w:sectPr w:rsidR="00ED1367" w:rsidRPr="00DF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68C6" w14:textId="77777777" w:rsidR="007B7FA6" w:rsidRDefault="007B7FA6" w:rsidP="00ED1367">
      <w:r>
        <w:separator/>
      </w:r>
    </w:p>
  </w:endnote>
  <w:endnote w:type="continuationSeparator" w:id="0">
    <w:p w14:paraId="3969E9C2" w14:textId="77777777" w:rsidR="007B7FA6" w:rsidRDefault="007B7FA6" w:rsidP="00ED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9A83" w14:textId="77777777" w:rsidR="007B7FA6" w:rsidRDefault="007B7FA6" w:rsidP="00ED1367">
      <w:r>
        <w:separator/>
      </w:r>
    </w:p>
  </w:footnote>
  <w:footnote w:type="continuationSeparator" w:id="0">
    <w:p w14:paraId="7E02D613" w14:textId="77777777" w:rsidR="007B7FA6" w:rsidRDefault="007B7FA6" w:rsidP="00ED1367">
      <w:r>
        <w:continuationSeparator/>
      </w:r>
    </w:p>
  </w:footnote>
  <w:footnote w:id="1">
    <w:p w14:paraId="0DE89D2D" w14:textId="166DA167" w:rsidR="00BB61F6" w:rsidRPr="00BB61F6" w:rsidRDefault="00BB61F6" w:rsidP="008C0170">
      <w:pPr>
        <w:pStyle w:val="Notedebasdepage"/>
        <w:jc w:val="both"/>
      </w:pPr>
      <w:r>
        <w:rPr>
          <w:rStyle w:val="Appelnotedebasdep"/>
        </w:rPr>
        <w:footnoteRef/>
      </w:r>
      <w:r w:rsidRPr="00BB61F6">
        <w:t xml:space="preserve"> </w:t>
      </w:r>
      <w:r>
        <w:t xml:space="preserve">Rapport de l’Expert indépendant sur la situation des droits de l’Homme en République centrafricaine, </w:t>
      </w:r>
      <w:r w:rsidR="00D6067E" w:rsidRPr="00D6067E">
        <w:t>A/HRC/51/59</w:t>
      </w:r>
      <w:r w:rsidR="00D6067E">
        <w:t xml:space="preserve">, 22 août 2022, </w:t>
      </w:r>
      <w:r>
        <w:t xml:space="preserve">p.7 §36, </w:t>
      </w:r>
      <w:r w:rsidRPr="00BB61F6">
        <w:rPr>
          <w:i/>
          <w:iCs/>
        </w:rPr>
        <w:t>(</w:t>
      </w:r>
      <w:hyperlink r:id="rId1" w:history="1">
        <w:r w:rsidRPr="00BB61F6">
          <w:rPr>
            <w:rStyle w:val="Lienhypertexte"/>
            <w:i/>
            <w:iCs/>
          </w:rPr>
          <w:t>https://docs.un.org/fr/A/HRC/51/59</w:t>
        </w:r>
      </w:hyperlink>
      <w:r w:rsidRPr="00BB61F6">
        <w:rPr>
          <w:i/>
          <w:iCs/>
        </w:rPr>
        <w:t>, consulté le 16 juin 2025)</w:t>
      </w:r>
      <w:r>
        <w:t xml:space="preserve"> </w:t>
      </w:r>
    </w:p>
  </w:footnote>
  <w:footnote w:id="2">
    <w:p w14:paraId="0B89D71D" w14:textId="77777777" w:rsidR="008C0170" w:rsidRDefault="005F28E1" w:rsidP="008C017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Communiqué de presse, « </w:t>
      </w:r>
      <w:r w:rsidRPr="005F28E1">
        <w:t>République centrafricaine : Une experte des Nations Unies appelle à l'action pour prévenir la traite et garantir la responsabilité, en particulier pour les femmes et les enfants</w:t>
      </w:r>
      <w:r>
        <w:t xml:space="preserve"> », </w:t>
      </w:r>
      <w:r w:rsidR="002F6A19">
        <w:t xml:space="preserve">               </w:t>
      </w:r>
    </w:p>
    <w:p w14:paraId="0F3DA501" w14:textId="75E92052" w:rsidR="005F28E1" w:rsidRDefault="005F28E1" w:rsidP="008C0170">
      <w:pPr>
        <w:pStyle w:val="Notedebasdepage"/>
        <w:jc w:val="both"/>
      </w:pPr>
      <w:r>
        <w:t>30</w:t>
      </w:r>
      <w:r w:rsidR="002F6A19">
        <w:t xml:space="preserve"> </w:t>
      </w:r>
      <w:r>
        <w:t xml:space="preserve">novembre 2023, </w:t>
      </w:r>
      <w:r w:rsidRPr="005F28E1">
        <w:rPr>
          <w:i/>
          <w:iCs/>
        </w:rPr>
        <w:t>(</w:t>
      </w:r>
      <w:hyperlink r:id="rId2" w:history="1">
        <w:r w:rsidRPr="005F28E1">
          <w:rPr>
            <w:rStyle w:val="Lienhypertexte"/>
            <w:i/>
            <w:iCs/>
          </w:rPr>
          <w:t>https://www.ohchr.org/fr/press-releases/2023/11/central-african-republic-un-expert-calls-action-prevent-trafficking-and</w:t>
        </w:r>
      </w:hyperlink>
      <w:r w:rsidRPr="005F28E1">
        <w:rPr>
          <w:i/>
          <w:iCs/>
        </w:rPr>
        <w:t xml:space="preserve">, consulté le 16 juin 2025) </w:t>
      </w:r>
    </w:p>
  </w:footnote>
  <w:footnote w:id="3">
    <w:p w14:paraId="4A04C8C8" w14:textId="5E47235E" w:rsidR="00D6067E" w:rsidRPr="00D6067E" w:rsidRDefault="00D6067E">
      <w:pPr>
        <w:pStyle w:val="Notedebasdepage"/>
      </w:pPr>
      <w:r>
        <w:rPr>
          <w:rStyle w:val="Appelnotedebasdep"/>
        </w:rPr>
        <w:footnoteRef/>
      </w:r>
      <w:r>
        <w:t xml:space="preserve"> Rapport de la Représentante spéciale du Secrétaire général pour la question des enfants et des conflits armés, </w:t>
      </w:r>
      <w:r w:rsidRPr="00D6067E">
        <w:t>A/HRC/58/18</w:t>
      </w:r>
      <w:r>
        <w:t xml:space="preserve">, 8 janvier 2025, p.6 </w:t>
      </w:r>
      <w:r w:rsidRPr="00D6067E">
        <w:rPr>
          <w:i/>
          <w:iCs/>
        </w:rPr>
        <w:t>(</w:t>
      </w:r>
      <w:hyperlink r:id="rId3" w:history="1">
        <w:r w:rsidRPr="00D6067E">
          <w:rPr>
            <w:rStyle w:val="Lienhypertexte"/>
            <w:i/>
            <w:iCs/>
          </w:rPr>
          <w:t>https://docs.un.org/fr/A/HRC/58/18</w:t>
        </w:r>
      </w:hyperlink>
      <w:r w:rsidRPr="00D6067E">
        <w:rPr>
          <w:i/>
          <w:iCs/>
        </w:rPr>
        <w:t>, consulté l</w:t>
      </w:r>
      <w:r>
        <w:rPr>
          <w:i/>
          <w:iCs/>
        </w:rPr>
        <w:t>e</w:t>
      </w:r>
      <w:r w:rsidRPr="00D6067E">
        <w:rPr>
          <w:i/>
          <w:iCs/>
        </w:rPr>
        <w:t xml:space="preserve"> 16 juin 2025)</w:t>
      </w:r>
      <w:r>
        <w:t xml:space="preserve"> </w:t>
      </w:r>
    </w:p>
  </w:footnote>
  <w:footnote w:id="4">
    <w:p w14:paraId="7ED425BF" w14:textId="14EB69F0" w:rsidR="00E71B8C" w:rsidRDefault="00E71B8C" w:rsidP="008C017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D6067E">
        <w:t xml:space="preserve">Conclusions du </w:t>
      </w:r>
      <w:r>
        <w:t>Groupe de travail du Conseil de sécurité sur les enfants et les conflits armés</w:t>
      </w:r>
      <w:r w:rsidR="00AA1A86">
        <w:t xml:space="preserve"> sur la question des enfants et du conflit en République centrafricaine, </w:t>
      </w:r>
      <w:r w:rsidR="00D6067E" w:rsidRPr="00D6067E">
        <w:t>A/HRC/51/59</w:t>
      </w:r>
      <w:r w:rsidR="00D6067E">
        <w:t xml:space="preserve">, </w:t>
      </w:r>
      <w:r>
        <w:t>30 août 2024,</w:t>
      </w:r>
      <w:r w:rsidR="00AA1A86">
        <w:t xml:space="preserve"> p.3 </w:t>
      </w:r>
      <w:r w:rsidRPr="00E71B8C">
        <w:rPr>
          <w:i/>
          <w:iCs/>
        </w:rPr>
        <w:t>(</w:t>
      </w:r>
      <w:hyperlink r:id="rId4" w:history="1">
        <w:r w:rsidRPr="00E71B8C">
          <w:rPr>
            <w:rStyle w:val="Lienhypertexte"/>
            <w:i/>
            <w:iCs/>
          </w:rPr>
          <w:t>https://docs.un.org/fr/S/AC.51/2024/5</w:t>
        </w:r>
      </w:hyperlink>
      <w:r w:rsidRPr="00E71B8C">
        <w:rPr>
          <w:i/>
          <w:iCs/>
        </w:rPr>
        <w:t xml:space="preserve">, consulté le 16 juin 2025) </w:t>
      </w:r>
    </w:p>
  </w:footnote>
  <w:footnote w:id="5">
    <w:p w14:paraId="70F45FDF" w14:textId="72985E9E" w:rsidR="00EB34AA" w:rsidRDefault="00EB34AA" w:rsidP="008C017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Les Conventions de Genève du 12 août 1949, article 3 commun, </w:t>
      </w:r>
      <w:r w:rsidRPr="00FB1EB5">
        <w:rPr>
          <w:i/>
          <w:iCs/>
        </w:rPr>
        <w:t>(</w:t>
      </w:r>
      <w:hyperlink r:id="rId5" w:history="1">
        <w:r w:rsidRPr="00FB1EB5">
          <w:rPr>
            <w:rStyle w:val="Lienhypertexte"/>
            <w:i/>
            <w:iCs/>
          </w:rPr>
          <w:t>https://www.icrc.org/sites/default/files/external/doc/fr/assets/files/other/icrc_001_0173.pdf</w:t>
        </w:r>
      </w:hyperlink>
      <w:r w:rsidRPr="00FB1EB5">
        <w:rPr>
          <w:i/>
          <w:iCs/>
        </w:rPr>
        <w:t>, consulté le 16 juin 2025)</w:t>
      </w:r>
      <w:r>
        <w:t> ; Protocole additionnel aux conventions de Genève du 12 août 1949 relatif à la protection des victimes des conflits armés non internationaux du 8 juin 1977, Titre II, article 4</w:t>
      </w:r>
      <w:r w:rsidR="00FB1EB5">
        <w:t>§</w:t>
      </w:r>
      <w:r>
        <w:t>3</w:t>
      </w:r>
      <w:r w:rsidR="00FB1EB5">
        <w:t xml:space="preserve"> </w:t>
      </w:r>
      <w:r w:rsidR="00FB1EB5" w:rsidRPr="00FB1EB5">
        <w:rPr>
          <w:i/>
          <w:iCs/>
        </w:rPr>
        <w:t>(</w:t>
      </w:r>
      <w:hyperlink r:id="rId6" w:history="1">
        <w:r w:rsidR="00FB1EB5" w:rsidRPr="00FB1EB5">
          <w:rPr>
            <w:rStyle w:val="Lienhypertexte"/>
            <w:i/>
            <w:iCs/>
          </w:rPr>
          <w:t>https://ihl-databases.icrc.org/assets/treaties/475-PA-II-FR.pdf</w:t>
        </w:r>
      </w:hyperlink>
      <w:r w:rsidR="00FB1EB5" w:rsidRPr="00FB1EB5">
        <w:rPr>
          <w:i/>
          <w:iCs/>
        </w:rPr>
        <w:t>, consulté le 16 juin 2025)</w:t>
      </w:r>
      <w:r w:rsidR="00FB1EB5">
        <w:t xml:space="preserve"> </w:t>
      </w:r>
    </w:p>
  </w:footnote>
  <w:footnote w:id="6">
    <w:p w14:paraId="3EA6DEF2" w14:textId="3C21868F" w:rsidR="008C0170" w:rsidRDefault="008C0170" w:rsidP="008C017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Charte africaine des droits et du bien-être de l’enfant</w:t>
      </w:r>
      <w:r w:rsidR="00BC451D">
        <w:t xml:space="preserve"> de 1990 </w:t>
      </w:r>
      <w:r w:rsidRPr="008C0170">
        <w:rPr>
          <w:i/>
          <w:iCs/>
        </w:rPr>
        <w:t>(</w:t>
      </w:r>
      <w:hyperlink r:id="rId7" w:history="1">
        <w:r w:rsidRPr="008C0170">
          <w:rPr>
            <w:rStyle w:val="Lienhypertexte"/>
            <w:i/>
            <w:iCs/>
          </w:rPr>
          <w:t>https://www.african-court.org/wpafc/wp-content/uploads/2020/10/12-CHARTE-AFRICAINE-DES-DROITS-ET-DU-BIEN-ETRE-DE-LENFANT.pdf</w:t>
        </w:r>
      </w:hyperlink>
      <w:r w:rsidRPr="008C0170">
        <w:rPr>
          <w:i/>
          <w:iCs/>
        </w:rPr>
        <w:t xml:space="preserve">, consulté le 16 juin 2025) </w:t>
      </w:r>
    </w:p>
  </w:footnote>
  <w:footnote w:id="7">
    <w:p w14:paraId="4F89FBFD" w14:textId="77777777" w:rsidR="00AA1A86" w:rsidRDefault="00AA1A86" w:rsidP="00AA1A8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Convention n°182 concernant l’interdiction des pires formes de travail des enfants et l’action immédiate en vue de leur élimination </w:t>
      </w:r>
      <w:r w:rsidRPr="002978FF">
        <w:rPr>
          <w:i/>
          <w:iCs/>
        </w:rPr>
        <w:t>(</w:t>
      </w:r>
      <w:hyperlink r:id="rId8" w:history="1">
        <w:r w:rsidRPr="002978FF">
          <w:rPr>
            <w:rStyle w:val="Lienhypertexte"/>
            <w:i/>
            <w:iCs/>
          </w:rPr>
          <w:t>https://www.un.org/sites/un2.un.org/files/2020/08/convention_182.pdf</w:t>
        </w:r>
      </w:hyperlink>
      <w:r w:rsidRPr="002978FF">
        <w:rPr>
          <w:i/>
          <w:iCs/>
        </w:rPr>
        <w:t>, consulté le 16 juin 2025)</w:t>
      </w:r>
      <w:r>
        <w:t xml:space="preserve"> </w:t>
      </w:r>
    </w:p>
  </w:footnote>
  <w:footnote w:id="8">
    <w:p w14:paraId="289A2245" w14:textId="77777777" w:rsidR="00AA1A86" w:rsidRPr="00AA1A86" w:rsidRDefault="00AA1A86" w:rsidP="00AA1A86">
      <w:pPr>
        <w:pStyle w:val="Notedebasdepage"/>
        <w:jc w:val="both"/>
        <w:rPr>
          <w:i/>
          <w:iCs/>
        </w:rPr>
      </w:pPr>
      <w:r>
        <w:rPr>
          <w:rStyle w:val="Appelnotedebasdep"/>
        </w:rPr>
        <w:footnoteRef/>
      </w:r>
      <w:r>
        <w:t xml:space="preserve"> Protocole facultatif à la Convention relative aux droits de l’enfant, concernant l’implication d’enfants dans les conflits armés du 25 mai 2000 </w:t>
      </w:r>
      <w:r w:rsidRPr="00AA1A86">
        <w:rPr>
          <w:i/>
          <w:iCs/>
        </w:rPr>
        <w:t>(</w:t>
      </w:r>
      <w:hyperlink r:id="rId9" w:history="1">
        <w:r w:rsidRPr="00AA1A86">
          <w:rPr>
            <w:rStyle w:val="Lienhypertexte"/>
            <w:i/>
            <w:iCs/>
          </w:rPr>
          <w:t>https://www.ohchr.org/fr/instruments-mechanisms/instruments/optional-protocol-convention-rights-child-involvement-children</w:t>
        </w:r>
      </w:hyperlink>
      <w:r w:rsidRPr="00AA1A86">
        <w:rPr>
          <w:i/>
          <w:iCs/>
        </w:rPr>
        <w:t xml:space="preserve">, </w:t>
      </w:r>
    </w:p>
    <w:p w14:paraId="297997E2" w14:textId="43C646E2" w:rsidR="00AA1A86" w:rsidRDefault="00AA1A86" w:rsidP="00AA1A86">
      <w:pPr>
        <w:pStyle w:val="Notedebasdepage"/>
        <w:jc w:val="both"/>
      </w:pPr>
      <w:r w:rsidRPr="00AA1A86">
        <w:rPr>
          <w:i/>
          <w:iCs/>
        </w:rPr>
        <w:t>consulté le 16 juin 2025)</w:t>
      </w:r>
      <w:r>
        <w:t xml:space="preserve"> </w:t>
      </w:r>
    </w:p>
  </w:footnote>
  <w:footnote w:id="9">
    <w:p w14:paraId="7FC8205A" w14:textId="6B4DB6C5" w:rsidR="008D5653" w:rsidRDefault="008D5653" w:rsidP="00AA1A8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F67E61">
        <w:t>Conclusions du Groupe de travail du Conseil de sécurité sur les enfants et les conflits armés sur la question des enfants et du conflit en République centrafricaine</w:t>
      </w:r>
      <w:r w:rsidR="00D6067E">
        <w:t>,</w:t>
      </w:r>
      <w:r w:rsidR="00F67E61">
        <w:t xml:space="preserve"> </w:t>
      </w:r>
      <w:r w:rsidR="00F67E61" w:rsidRPr="00D6067E">
        <w:t>A/HRC/51/59</w:t>
      </w:r>
      <w:r w:rsidR="00F67E61">
        <w:t xml:space="preserve">, </w:t>
      </w:r>
      <w:r>
        <w:t xml:space="preserve">p.3 </w:t>
      </w:r>
      <w:r w:rsidRPr="008D5653">
        <w:rPr>
          <w:i/>
          <w:iCs/>
        </w:rPr>
        <w:t>(</w:t>
      </w:r>
      <w:hyperlink r:id="rId10" w:history="1">
        <w:r w:rsidRPr="008D5653">
          <w:rPr>
            <w:rStyle w:val="Lienhypertexte"/>
            <w:i/>
            <w:iCs/>
          </w:rPr>
          <w:t>https://docs.un.org/fr/S/AC.51/2024/5</w:t>
        </w:r>
      </w:hyperlink>
      <w:r w:rsidRPr="008D5653">
        <w:rPr>
          <w:i/>
          <w:iCs/>
        </w:rPr>
        <w:t>, consulté le 16 juin 2025)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04"/>
    <w:rsid w:val="0004141F"/>
    <w:rsid w:val="00046533"/>
    <w:rsid w:val="0005790E"/>
    <w:rsid w:val="00062559"/>
    <w:rsid w:val="000F542D"/>
    <w:rsid w:val="00100A5E"/>
    <w:rsid w:val="001146D2"/>
    <w:rsid w:val="001E4390"/>
    <w:rsid w:val="001F225B"/>
    <w:rsid w:val="00216902"/>
    <w:rsid w:val="002978FF"/>
    <w:rsid w:val="002A23AE"/>
    <w:rsid w:val="002A7C74"/>
    <w:rsid w:val="002F6A19"/>
    <w:rsid w:val="0039135F"/>
    <w:rsid w:val="00403E6C"/>
    <w:rsid w:val="00413BA8"/>
    <w:rsid w:val="004B2478"/>
    <w:rsid w:val="005A4CEA"/>
    <w:rsid w:val="005F28E1"/>
    <w:rsid w:val="006A28D0"/>
    <w:rsid w:val="00726953"/>
    <w:rsid w:val="00760D97"/>
    <w:rsid w:val="007722E0"/>
    <w:rsid w:val="007B7FA6"/>
    <w:rsid w:val="00853E15"/>
    <w:rsid w:val="008C0170"/>
    <w:rsid w:val="008C4AC2"/>
    <w:rsid w:val="008D341F"/>
    <w:rsid w:val="008D5653"/>
    <w:rsid w:val="009F04CA"/>
    <w:rsid w:val="00A10374"/>
    <w:rsid w:val="00AA1A86"/>
    <w:rsid w:val="00AD4562"/>
    <w:rsid w:val="00AD6A26"/>
    <w:rsid w:val="00AE5BC9"/>
    <w:rsid w:val="00B469FD"/>
    <w:rsid w:val="00BB61F6"/>
    <w:rsid w:val="00BC451D"/>
    <w:rsid w:val="00BE089B"/>
    <w:rsid w:val="00BF4B12"/>
    <w:rsid w:val="00C5100D"/>
    <w:rsid w:val="00CF5A6A"/>
    <w:rsid w:val="00D121D6"/>
    <w:rsid w:val="00D15208"/>
    <w:rsid w:val="00D6067E"/>
    <w:rsid w:val="00D83B73"/>
    <w:rsid w:val="00DB2876"/>
    <w:rsid w:val="00DB7404"/>
    <w:rsid w:val="00DD2547"/>
    <w:rsid w:val="00DD5947"/>
    <w:rsid w:val="00DD688E"/>
    <w:rsid w:val="00DF50D2"/>
    <w:rsid w:val="00E71B8C"/>
    <w:rsid w:val="00EB34AA"/>
    <w:rsid w:val="00ED1367"/>
    <w:rsid w:val="00EF2E8A"/>
    <w:rsid w:val="00F10E1B"/>
    <w:rsid w:val="00F50F20"/>
    <w:rsid w:val="00F67E61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9C3B"/>
  <w15:chartTrackingRefBased/>
  <w15:docId w15:val="{FA4A6EFF-0E03-8543-82AB-53C1C5CA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7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7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7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7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74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74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74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74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7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7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74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74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74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74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74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74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74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74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7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7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74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74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74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7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74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74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1367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13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13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136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D136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136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F4B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ites/un2.un.org/files/2020/08/convention_182.pdf" TargetMode="External"/><Relationship Id="rId3" Type="http://schemas.openxmlformats.org/officeDocument/2006/relationships/hyperlink" Target="https://docs.un.org/fr/A/HRC/58/18" TargetMode="External"/><Relationship Id="rId7" Type="http://schemas.openxmlformats.org/officeDocument/2006/relationships/hyperlink" Target="https://www.african-court.org/wpafc/wp-content/uploads/2020/10/12-CHARTE-AFRICAINE-DES-DROITS-ET-DU-BIEN-ETRE-DE-LENFANT.pdf" TargetMode="External"/><Relationship Id="rId2" Type="http://schemas.openxmlformats.org/officeDocument/2006/relationships/hyperlink" Target="https://www.ohchr.org/fr/press-releases/2023/11/central-african-republic-un-expert-calls-action-prevent-trafficking-and" TargetMode="External"/><Relationship Id="rId1" Type="http://schemas.openxmlformats.org/officeDocument/2006/relationships/hyperlink" Target="https://docs.un.org/fr/A/HRC/51/59" TargetMode="External"/><Relationship Id="rId6" Type="http://schemas.openxmlformats.org/officeDocument/2006/relationships/hyperlink" Target="https://ihl-databases.icrc.org/assets/treaties/475-PA-II-FR.pdf" TargetMode="External"/><Relationship Id="rId5" Type="http://schemas.openxmlformats.org/officeDocument/2006/relationships/hyperlink" Target="https://www.icrc.org/sites/default/files/external/doc/fr/assets/files/other/icrc_001_0173.pdf" TargetMode="External"/><Relationship Id="rId10" Type="http://schemas.openxmlformats.org/officeDocument/2006/relationships/hyperlink" Target="https://docs.un.org/fr/S/AC.51/2024/5" TargetMode="External"/><Relationship Id="rId4" Type="http://schemas.openxmlformats.org/officeDocument/2006/relationships/hyperlink" Target="https://docs.un.org/fr/S/AC.51/2024/5" TargetMode="External"/><Relationship Id="rId9" Type="http://schemas.openxmlformats.org/officeDocument/2006/relationships/hyperlink" Target="https://www.ohchr.org/fr/instruments-mechanisms/instruments/optional-protocol-convention-rights-child-involvement-childr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9534E0-E428-0945-843D-CD5DBFDE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Agatha Hoogterp</dc:creator>
  <cp:keywords/>
  <dc:description/>
  <cp:lastModifiedBy>Agatha Hoogterp</cp:lastModifiedBy>
  <cp:revision>14</cp:revision>
  <dcterms:created xsi:type="dcterms:W3CDTF">2025-06-16T13:22:00Z</dcterms:created>
  <dcterms:modified xsi:type="dcterms:W3CDTF">2025-06-29T18:22:00Z</dcterms:modified>
</cp:coreProperties>
</file>